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6134" w14:textId="77777777" w:rsidR="00C84A07" w:rsidRPr="003319A5" w:rsidRDefault="009E52F8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</w:pP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TRIANGLE </w:t>
      </w:r>
      <w:r w:rsidR="00B45036"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Knowledge Alliance Members </w:t>
      </w: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Agreement </w:t>
      </w:r>
      <w:r w:rsidR="00B45036"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>for</w:t>
      </w: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 H</w:t>
      </w:r>
      <w:r w:rsidR="00B45036"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igher </w:t>
      </w: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>E</w:t>
      </w:r>
      <w:r w:rsidR="00B45036"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ducation </w:t>
      </w: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>I</w:t>
      </w:r>
      <w:r w:rsidR="00B45036"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>nstitutes</w:t>
      </w: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 </w:t>
      </w:r>
    </w:p>
    <w:p w14:paraId="6C2EFCDA" w14:textId="77777777" w:rsidR="00B45036" w:rsidRPr="003319A5" w:rsidRDefault="00E12FB2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</w:pPr>
      <w:r w:rsidRPr="003319A5">
        <w:rPr>
          <w:rFonts w:ascii="Times New Roman" w:eastAsia="Times New Roman" w:hAnsi="Times New Roman" w:cs="Times New Roman"/>
          <w:b/>
          <w:noProof/>
          <w:sz w:val="48"/>
          <w:szCs w:val="48"/>
          <w:lang w:val="en-GB"/>
        </w:rPr>
        <w:t xml:space="preserve"> </w:t>
      </w:r>
      <w:r w:rsidR="000B38D4" w:rsidRPr="003319A5">
        <w:rPr>
          <w:noProof/>
          <w:lang w:val="de-DE" w:eastAsia="de-DE"/>
        </w:rPr>
        <w:drawing>
          <wp:inline distT="0" distB="0" distL="0" distR="0" wp14:anchorId="656197E5" wp14:editId="6C0D0AD3">
            <wp:extent cx="769198" cy="584591"/>
            <wp:effectExtent l="0" t="0" r="0" b="6350"/>
            <wp:docPr id="5" name="Picture 6" descr="http://destinet.eu/images/triangle-logo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http://destinet.eu/images/triangle-logo-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98" cy="5845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A0DE743" w14:textId="77777777" w:rsidR="00537A4C" w:rsidRDefault="00537A4C" w:rsidP="00B4503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en-GB"/>
        </w:rPr>
      </w:pPr>
    </w:p>
    <w:p w14:paraId="61A725CA" w14:textId="77777777" w:rsidR="00B45036" w:rsidRPr="003319A5" w:rsidRDefault="00B45036" w:rsidP="00B4503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en-GB"/>
        </w:rPr>
      </w:pPr>
      <w:r w:rsidRPr="003319A5">
        <w:rPr>
          <w:rFonts w:ascii="Times New Roman" w:eastAsia="Times New Roman" w:hAnsi="Times New Roman" w:cs="Times New Roman"/>
          <w:b/>
          <w:noProof/>
          <w:sz w:val="32"/>
          <w:szCs w:val="32"/>
          <w:lang w:val="en-GB"/>
        </w:rPr>
        <w:t>Vienna 11th September 2019</w:t>
      </w:r>
    </w:p>
    <w:p w14:paraId="6461941E" w14:textId="77777777" w:rsidR="00C84A07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0E7C25A8" w14:textId="77777777" w:rsidR="00C84A07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The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3319A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Tourism Research, Innovation And Next Generation Learning Experience</w:t>
      </w:r>
      <w:r w:rsidR="00E12FB2" w:rsidRPr="003319A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(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TRIANGLE)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pro</w:t>
      </w:r>
      <w:r w:rsidR="00C8275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ject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has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creat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ed</w:t>
      </w:r>
      <w:r w:rsidR="00C8275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through the EU Erasmus Programme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a knowledge alliance of higher education institutes and businesses across Europe</w:t>
      </w:r>
      <w:r w:rsidR="00C8275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, organised to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deliver a common 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collaborative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sustainable tourism 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information and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training system 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to be used to support sustainable development in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protected area and green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destinations</w:t>
      </w:r>
      <w:r w:rsidR="00E12FB2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in Europe. </w:t>
      </w:r>
    </w:p>
    <w:p w14:paraId="30E7AD86" w14:textId="15D22F4D" w:rsidR="00D865E8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61BECE9" w14:textId="0E5CAA1B" w:rsidR="00C84A07" w:rsidRPr="003319A5" w:rsidRDefault="00E12FB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M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ember</w:t>
      </w: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s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of the TRIANGLE </w:t>
      </w:r>
      <w:r w:rsidR="00B45036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Knowledge Alliance 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will</w:t>
      </w: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ben</w:t>
      </w:r>
      <w:r w:rsidR="00BB48D4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e</w:t>
      </w: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fit in the following ways</w:t>
      </w:r>
      <w:r w:rsidR="00B45036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:</w:t>
      </w:r>
      <w:r w:rsidR="009E52F8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185C75D9" w14:textId="39A71411" w:rsidR="00C84A07" w:rsidRPr="003319A5" w:rsidRDefault="009E52F8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Have access to a professional and global sustainable tourism knowledge base (Tourism2030)</w:t>
      </w:r>
      <w:r w:rsidR="00842717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including the Going Green Toolkit</w:t>
      </w:r>
    </w:p>
    <w:p w14:paraId="2E21B916" w14:textId="440508C0" w:rsidR="00C84A07" w:rsidRPr="003319A5" w:rsidRDefault="009E52F8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Have </w:t>
      </w:r>
      <w:r w:rsidR="00842717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exclusive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access to specifically designed online courses </w:t>
      </w:r>
    </w:p>
    <w:p w14:paraId="5EC63DC2" w14:textId="0EE43AC6" w:rsidR="00C84A07" w:rsidRPr="003319A5" w:rsidRDefault="009E52F8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Be able to </w:t>
      </w:r>
      <w:r w:rsidR="00842717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exclusively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use the online course materials for future teaching</w:t>
      </w:r>
    </w:p>
    <w:p w14:paraId="763C213A" w14:textId="64AF71A1" w:rsidR="00C84A07" w:rsidRPr="003319A5" w:rsidRDefault="009E52F8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Have </w:t>
      </w:r>
      <w:r w:rsidR="00842717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exclusive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access to a European internship database for students in the field of sustainable tourism</w:t>
      </w:r>
    </w:p>
    <w:p w14:paraId="7BD3A188" w14:textId="77777777" w:rsidR="00C84A07" w:rsidRPr="003319A5" w:rsidRDefault="009E52F8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Be part of a 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collaborative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network of universities from all over Europe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specialized in tourism research and education</w:t>
      </w:r>
    </w:p>
    <w:p w14:paraId="00E8DB2B" w14:textId="77777777" w:rsidR="00E12FB2" w:rsidRPr="003319A5" w:rsidRDefault="00E12FB2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Be part of a collaborative funding and resourcing process for implementing the system</w:t>
      </w:r>
    </w:p>
    <w:p w14:paraId="002C9E5F" w14:textId="77777777" w:rsidR="00E12FB2" w:rsidRPr="003319A5" w:rsidRDefault="00422BD1" w:rsidP="00FC6501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Enjoy the status of becoming a National Sustainable Tourism Education and Training Centre</w:t>
      </w:r>
    </w:p>
    <w:p w14:paraId="4AC45A42" w14:textId="77777777" w:rsidR="00C84A07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69C780B5" w14:textId="77777777" w:rsidR="00C84A07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5A19551" w14:textId="0789E007" w:rsidR="00C84A07" w:rsidRPr="003319A5" w:rsidRDefault="00422BD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M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ember</w:t>
      </w:r>
      <w:r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s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of the TRIANGLE network </w:t>
      </w:r>
      <w:r w:rsidR="00BB48D4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understand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="00BB48D4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they will have </w:t>
      </w:r>
      <w:r w:rsidR="009E52F8" w:rsidRPr="003319A5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the following responsibilities </w:t>
      </w:r>
    </w:p>
    <w:p w14:paraId="42EA1E0A" w14:textId="77777777" w:rsidR="00C84A07" w:rsidRPr="003319A5" w:rsidRDefault="009E52F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47AF7F10" w14:textId="099F5918" w:rsidR="00D865E8" w:rsidRPr="003319A5" w:rsidRDefault="009E52F8" w:rsidP="00D865E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Appointing a contact person for your university to deal with the Alliance network management:</w:t>
      </w:r>
    </w:p>
    <w:p w14:paraId="55E74697" w14:textId="77777777" w:rsidR="00C84A07" w:rsidRPr="003319A5" w:rsidRDefault="009E52F8" w:rsidP="00BB48D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Updating relevant information on the Tourism2030 knowledge base </w:t>
      </w:r>
    </w:p>
    <w:p w14:paraId="248C0252" w14:textId="77777777" w:rsidR="00422BD1" w:rsidRPr="003319A5" w:rsidRDefault="00422BD1" w:rsidP="00BB48D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Peer reviewing and/or creating contents for the online courses</w:t>
      </w:r>
    </w:p>
    <w:p w14:paraId="2A41DA1C" w14:textId="77777777" w:rsidR="00C84A07" w:rsidRPr="003319A5" w:rsidRDefault="009E52F8" w:rsidP="00BB48D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Providing  businesses for the internship programme at the European level</w:t>
      </w:r>
    </w:p>
    <w:p w14:paraId="3B59213D" w14:textId="2997C9A2" w:rsidR="00C84A07" w:rsidRPr="003319A5" w:rsidRDefault="00BB48D4" w:rsidP="00BB48D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Facilitating</w:t>
      </w:r>
      <w:r w:rsidR="009E52F8" w:rsidRPr="003319A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GB"/>
        </w:rPr>
        <w:t xml:space="preserve"> </w:t>
      </w:r>
      <w:r w:rsidR="009E52F8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students able to join the internship programme </w:t>
      </w:r>
    </w:p>
    <w:p w14:paraId="655CFC6C" w14:textId="77777777" w:rsidR="00C84A07" w:rsidRPr="003319A5" w:rsidRDefault="009E52F8" w:rsidP="00BB48D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Providing contacts 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for other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universities that may be interested in joining the Alliance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in the eve</w:t>
      </w:r>
      <w:r w:rsidR="00422BD1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nt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of expanding the network</w:t>
      </w:r>
    </w:p>
    <w:p w14:paraId="782302D7" w14:textId="77777777" w:rsidR="00B16600" w:rsidRPr="003319A5" w:rsidRDefault="00BB48D4" w:rsidP="00D865E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Be part of a collaborative funding and resourcing process for implementing the system</w:t>
      </w:r>
    </w:p>
    <w:p w14:paraId="2AA30862" w14:textId="7230F920" w:rsidR="00D865E8" w:rsidRPr="003319A5" w:rsidRDefault="00D865E8" w:rsidP="00D865E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Work towards establishing the legal framework for a European Association or another appropriate legal form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.</w:t>
      </w:r>
    </w:p>
    <w:p w14:paraId="788DC055" w14:textId="77777777" w:rsidR="00D865E8" w:rsidRPr="003319A5" w:rsidRDefault="00D865E8" w:rsidP="00D865E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GB"/>
        </w:rPr>
      </w:pPr>
    </w:p>
    <w:p w14:paraId="29F76BDA" w14:textId="77777777" w:rsidR="003319A5" w:rsidRDefault="003319A5" w:rsidP="00D865E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14:paraId="0C4EFECB" w14:textId="00777015" w:rsidR="00D865E8" w:rsidRPr="003319A5" w:rsidRDefault="004F5ACD" w:rsidP="00D865E8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lastRenderedPageBreak/>
        <w:t>A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t</w:t>
      </w:r>
      <w:r w:rsidR="00D865E8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emporary Governance Structure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shall be</w:t>
      </w:r>
      <w:r w:rsidR="00D865E8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established until 31st October 2019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depending on European Association rules and regulations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.</w:t>
      </w:r>
    </w:p>
    <w:p w14:paraId="77866A46" w14:textId="77777777" w:rsidR="004F5ACD" w:rsidRPr="003319A5" w:rsidRDefault="004F5ACD" w:rsidP="004F5AC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14:paraId="7AA7F5BD" w14:textId="46A1644D" w:rsidR="004F5ACD" w:rsidRPr="003319A5" w:rsidRDefault="00853DDC" w:rsidP="00B1660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noProof/>
          <w:lang w:val="de-DE" w:eastAsia="de-DE"/>
        </w:rPr>
        <w:drawing>
          <wp:inline distT="0" distB="0" distL="0" distR="0" wp14:anchorId="3891A96D" wp14:editId="769436F0">
            <wp:extent cx="5742422" cy="435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319" r="8375"/>
                    <a:stretch/>
                  </pic:blipFill>
                  <pic:spPr bwMode="auto">
                    <a:xfrm>
                      <a:off x="0" y="0"/>
                      <a:ext cx="5748518" cy="4357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E7BCD" w14:textId="77777777" w:rsidR="00B45036" w:rsidRPr="003319A5" w:rsidRDefault="00B4503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14:paraId="282A35B6" w14:textId="25659E86" w:rsidR="00B45036" w:rsidRPr="003319A5" w:rsidRDefault="00422BD1" w:rsidP="00B4503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This document records those Higher Education Institutes 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and other Alliance members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who participat</w:t>
      </w:r>
      <w:r w:rsidR="004658C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ed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in the final TRIANGLE project conference in Vienna 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who have expressed </w:t>
      </w:r>
      <w:r w:rsidR="00BB48D4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intention</w:t>
      </w:r>
      <w:r w:rsidR="00B45036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in being part of the TRIANGLE Knowledge Alliance. 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It is signed by the contact person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of the respective organisations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attending the </w:t>
      </w:r>
      <w:r w:rsidR="00B16600"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meeting. </w:t>
      </w:r>
    </w:p>
    <w:p w14:paraId="1BFEB7B4" w14:textId="77777777" w:rsidR="004658C4" w:rsidRDefault="004658C4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14:paraId="658B84D6" w14:textId="4E38FB83" w:rsidR="00B45036" w:rsidRDefault="00B16600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The undersigned person</w:t>
      </w:r>
      <w:r w:rsidR="004658C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 have</w:t>
      </w:r>
      <w:r w:rsidRPr="003319A5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consensus over forming collaboration will be based on a set of principles that are transversal to the European projects. This alliance will ensure principles and values of tolerance, mutual respect, transparency, openness, accountability and effectiveness. </w:t>
      </w:r>
    </w:p>
    <w:p w14:paraId="27B321E7" w14:textId="77777777" w:rsidR="004658C4" w:rsidRDefault="004658C4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14:paraId="43198A84" w14:textId="524A24B5" w:rsidR="00C0316B" w:rsidRDefault="004658C4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I represent a HEI in Europe and </w:t>
      </w:r>
      <w:r w:rsidR="00C0316B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am interested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to join the TRIANGLE K</w:t>
      </w:r>
      <w:r w:rsidR="00C0316B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nowledge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A</w:t>
      </w:r>
      <w:r w:rsidR="00C0316B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lliance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. </w:t>
      </w:r>
    </w:p>
    <w:p w14:paraId="08DF158B" w14:textId="77777777" w:rsidR="00C0316B" w:rsidRDefault="00C0316B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14:paraId="6C5870F9" w14:textId="632E5E9E" w:rsidR="004658C4" w:rsidRPr="00C0316B" w:rsidRDefault="004658C4" w:rsidP="004658C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Please contact me</w:t>
      </w:r>
      <w:r w:rsidR="00C0316B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for further details: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0316B" w:rsidRPr="00C0316B" w14:paraId="0AE03FA3" w14:textId="77777777" w:rsidTr="00C0316B">
        <w:tc>
          <w:tcPr>
            <w:tcW w:w="2689" w:type="dxa"/>
          </w:tcPr>
          <w:p w14:paraId="09DAEDB4" w14:textId="77777777" w:rsidR="00C0316B" w:rsidRPr="00C0316B" w:rsidRDefault="00C0316B" w:rsidP="002F7FB8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Name of HEI</w:t>
            </w:r>
          </w:p>
        </w:tc>
        <w:tc>
          <w:tcPr>
            <w:tcW w:w="7796" w:type="dxa"/>
          </w:tcPr>
          <w:p w14:paraId="2EDDB7C8" w14:textId="77777777" w:rsidR="00C0316B" w:rsidRPr="00C0316B" w:rsidRDefault="00C0316B" w:rsidP="002F7FB8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C0316B" w:rsidRPr="00C0316B" w14:paraId="048422EA" w14:textId="77777777" w:rsidTr="00C0316B">
        <w:tc>
          <w:tcPr>
            <w:tcW w:w="2689" w:type="dxa"/>
          </w:tcPr>
          <w:p w14:paraId="28DC7BB5" w14:textId="580A32CB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796" w:type="dxa"/>
          </w:tcPr>
          <w:p w14:paraId="31BB965C" w14:textId="6F3A48BD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C0316B" w:rsidRPr="00C0316B" w14:paraId="082B3B14" w14:textId="77777777" w:rsidTr="00C0316B">
        <w:tc>
          <w:tcPr>
            <w:tcW w:w="2689" w:type="dxa"/>
          </w:tcPr>
          <w:p w14:paraId="04FE49C3" w14:textId="34DA1F03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7796" w:type="dxa"/>
          </w:tcPr>
          <w:p w14:paraId="5C3C162A" w14:textId="2A056463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C0316B" w:rsidRPr="00C0316B" w14:paraId="3D9EC5AC" w14:textId="77777777" w:rsidTr="00C0316B">
        <w:tc>
          <w:tcPr>
            <w:tcW w:w="2689" w:type="dxa"/>
          </w:tcPr>
          <w:p w14:paraId="41D367BF" w14:textId="6FB28443" w:rsidR="00C0316B" w:rsidRPr="00C0316B" w:rsidRDefault="00C0316B" w:rsidP="002F7FB8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7796" w:type="dxa"/>
          </w:tcPr>
          <w:p w14:paraId="663FEE1D" w14:textId="77777777" w:rsidR="00C0316B" w:rsidRPr="00C0316B" w:rsidRDefault="00C0316B" w:rsidP="002F7FB8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C0316B" w:rsidRPr="00C0316B" w14:paraId="1D47ED84" w14:textId="77777777" w:rsidTr="00C0316B">
        <w:tc>
          <w:tcPr>
            <w:tcW w:w="2689" w:type="dxa"/>
          </w:tcPr>
          <w:p w14:paraId="5086467E" w14:textId="023BB8FC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Date, Place</w:t>
            </w:r>
          </w:p>
        </w:tc>
        <w:tc>
          <w:tcPr>
            <w:tcW w:w="7796" w:type="dxa"/>
          </w:tcPr>
          <w:p w14:paraId="7D861E5E" w14:textId="2BE8E8D5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  <w:tr w:rsidR="00C0316B" w:rsidRPr="00C0316B" w14:paraId="375B1B0F" w14:textId="77777777" w:rsidTr="00C0316B">
        <w:tc>
          <w:tcPr>
            <w:tcW w:w="2689" w:type="dxa"/>
          </w:tcPr>
          <w:p w14:paraId="5685BDB9" w14:textId="1E637E50" w:rsid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C03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Signature</w:t>
            </w:r>
          </w:p>
          <w:p w14:paraId="4437134A" w14:textId="5CA8E5D3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796" w:type="dxa"/>
          </w:tcPr>
          <w:p w14:paraId="6B6FB40C" w14:textId="2138F611" w:rsidR="00C0316B" w:rsidRPr="00C0316B" w:rsidRDefault="00C0316B" w:rsidP="00C0316B">
            <w:pPr>
              <w:pStyle w:val="Normal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</w:tc>
      </w:tr>
    </w:tbl>
    <w:p w14:paraId="7FA7D9F5" w14:textId="3493461F" w:rsidR="00B45036" w:rsidRPr="00B45036" w:rsidRDefault="00B45036" w:rsidP="00C0316B">
      <w:pPr>
        <w:rPr>
          <w:rFonts w:ascii="Times New Roman" w:eastAsia="Times New Roman" w:hAnsi="Times New Roman" w:cs="Times New Roman"/>
          <w:sz w:val="48"/>
          <w:szCs w:val="48"/>
        </w:rPr>
      </w:pPr>
    </w:p>
    <w:sectPr w:rsidR="00B45036" w:rsidRPr="00B45036" w:rsidSect="00C0316B">
      <w:headerReference w:type="default" r:id="rId10"/>
      <w:footerReference w:type="default" r:id="rId11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D082F" w14:textId="77777777" w:rsidR="00C33E31" w:rsidRDefault="00C33E31" w:rsidP="00422BD1">
      <w:pPr>
        <w:spacing w:line="240" w:lineRule="auto"/>
      </w:pPr>
      <w:r>
        <w:separator/>
      </w:r>
    </w:p>
  </w:endnote>
  <w:endnote w:type="continuationSeparator" w:id="0">
    <w:p w14:paraId="6EF4D792" w14:textId="77777777" w:rsidR="00C33E31" w:rsidRDefault="00C33E31" w:rsidP="00422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438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A88A" w14:textId="0448F3F7" w:rsidR="00422BD1" w:rsidRDefault="00422BD1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856FD5" w14:textId="77777777" w:rsidR="00422BD1" w:rsidRDefault="00422B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8173" w14:textId="77777777" w:rsidR="00C33E31" w:rsidRDefault="00C33E31" w:rsidP="00422BD1">
      <w:pPr>
        <w:spacing w:line="240" w:lineRule="auto"/>
      </w:pPr>
      <w:r>
        <w:separator/>
      </w:r>
    </w:p>
  </w:footnote>
  <w:footnote w:type="continuationSeparator" w:id="0">
    <w:p w14:paraId="6C513C69" w14:textId="77777777" w:rsidR="00C33E31" w:rsidRDefault="00C33E31" w:rsidP="00422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070D" w14:textId="77777777" w:rsidR="00422BD1" w:rsidRDefault="000B38D4">
    <w:pPr>
      <w:pStyle w:val="Kopfzeile"/>
    </w:pPr>
    <w:r w:rsidRPr="000B38D4">
      <w:rPr>
        <w:noProof/>
        <w:lang w:val="de-DE" w:eastAsia="de-DE"/>
      </w:rPr>
      <w:drawing>
        <wp:inline distT="0" distB="0" distL="0" distR="0" wp14:anchorId="289C2C7B" wp14:editId="0A6335B1">
          <wp:extent cx="4712677" cy="524625"/>
          <wp:effectExtent l="0" t="0" r="0" b="8890"/>
          <wp:docPr id="6" name="Picture 2" descr="http://destinet.eu/images/partners-consortium-logos-li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destinet.eu/images/partners-consortium-logos-li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1430" cy="535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38D4">
      <w:rPr>
        <w:noProof/>
      </w:rPr>
      <w:t xml:space="preserve"> </w:t>
    </w:r>
    <w:r w:rsidRPr="000B38D4">
      <w:rPr>
        <w:noProof/>
        <w:lang w:val="de-DE" w:eastAsia="de-DE"/>
      </w:rPr>
      <w:drawing>
        <wp:inline distT="0" distB="0" distL="0" distR="0" wp14:anchorId="1B0F73F6" wp14:editId="3AE061BC">
          <wp:extent cx="765646" cy="153130"/>
          <wp:effectExtent l="0" t="0" r="0" b="0"/>
          <wp:docPr id="7" name="Picture 21" descr="http://destinet.eu/images/erasmus-logo-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://destinet.eu/images/erasmus-logo-lo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32" cy="169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1B62CC" w14:textId="77777777" w:rsidR="000B38D4" w:rsidRDefault="000B38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0080"/>
    <w:multiLevelType w:val="hybridMultilevel"/>
    <w:tmpl w:val="A7F2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3B2"/>
    <w:multiLevelType w:val="multilevel"/>
    <w:tmpl w:val="E25A46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07"/>
    <w:rsid w:val="000B38D4"/>
    <w:rsid w:val="00136B86"/>
    <w:rsid w:val="00176BFC"/>
    <w:rsid w:val="00254D5B"/>
    <w:rsid w:val="002D1A25"/>
    <w:rsid w:val="003319A5"/>
    <w:rsid w:val="00422BD1"/>
    <w:rsid w:val="004658C4"/>
    <w:rsid w:val="004C50FF"/>
    <w:rsid w:val="004F5501"/>
    <w:rsid w:val="004F5ACD"/>
    <w:rsid w:val="00537A4C"/>
    <w:rsid w:val="005730E8"/>
    <w:rsid w:val="006009EF"/>
    <w:rsid w:val="00651A51"/>
    <w:rsid w:val="006A2855"/>
    <w:rsid w:val="006C1088"/>
    <w:rsid w:val="006C74D8"/>
    <w:rsid w:val="007238F7"/>
    <w:rsid w:val="00842717"/>
    <w:rsid w:val="00853DDC"/>
    <w:rsid w:val="00996240"/>
    <w:rsid w:val="009E52F8"/>
    <w:rsid w:val="00B16600"/>
    <w:rsid w:val="00B45036"/>
    <w:rsid w:val="00BB48D4"/>
    <w:rsid w:val="00BF3FFC"/>
    <w:rsid w:val="00C0316B"/>
    <w:rsid w:val="00C23230"/>
    <w:rsid w:val="00C33E31"/>
    <w:rsid w:val="00C45308"/>
    <w:rsid w:val="00C82752"/>
    <w:rsid w:val="00C84A07"/>
    <w:rsid w:val="00CD0E02"/>
    <w:rsid w:val="00D020DE"/>
    <w:rsid w:val="00D64C0D"/>
    <w:rsid w:val="00D865E8"/>
    <w:rsid w:val="00DF6CCE"/>
    <w:rsid w:val="00E12FB2"/>
    <w:rsid w:val="00F2786A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A9709"/>
  <w15:docId w15:val="{C53E9D60-5AF6-44B3-85D6-E8E4D352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styleId="Tabellenraster">
    <w:name w:val="Table Grid"/>
    <w:basedOn w:val="NormaleTabelle"/>
    <w:uiPriority w:val="59"/>
    <w:rsid w:val="00B450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2BD1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BD1"/>
  </w:style>
  <w:style w:type="paragraph" w:styleId="Fuzeile">
    <w:name w:val="footer"/>
    <w:basedOn w:val="Standard"/>
    <w:link w:val="FuzeileZchn"/>
    <w:uiPriority w:val="99"/>
    <w:unhideWhenUsed/>
    <w:rsid w:val="00422BD1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213A-6684-4F7A-BA44-C0FD4B2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Sillence</dc:creator>
  <cp:lastModifiedBy>Hamele Herbert</cp:lastModifiedBy>
  <cp:revision>2</cp:revision>
  <dcterms:created xsi:type="dcterms:W3CDTF">2019-10-30T17:22:00Z</dcterms:created>
  <dcterms:modified xsi:type="dcterms:W3CDTF">2019-10-30T17:22:00Z</dcterms:modified>
</cp:coreProperties>
</file>